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水力凈綠能科技股份有限公司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19225"/>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f10c73bf27c44750"/>
                          <a:stretch>
                            <a:fillRect/>
                          </a:stretch>
                        </pic:blipFill>
                        <pic:spPr>
                          <a:xfrm>
                            <a:off x="0" y="0"/>
                            <a:ext cx="1428750" cy="1419225"/>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2022-07-22</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宋富璘</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03-4229430</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sljwsb@gmail.com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0976539028</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90327914</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3,500,000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桃園市中壢區明德路60號5樓</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團隊專注於將水分子解鏈技術設備應用於空調冷卻水塔場域，讓冷卻水塔及循環管路的水垢不會生成，水垢不會生成，這特點非常非常非常重要。也是目前市場上做不到的，前面的論述已提及空調冷卻水塔機組只要沒有水垢的影響，冷卻水塔散熱效率會變得非常好，進而讓冰水主機就發揮最佳的製冷效率、節省能耗、降低碳排放，並透過iot設備量測相關能源數據，依據國際ASHRAE Guideline 14-2002冰水主機性能驗證公式，計算使用解決方案前後的能源數據及冰水主機性能數據之對比，明確計算出減碳數據，結合通傳技術以SCADA為基礎建置圖像能源數據對比，及能源管理平台每15分鐘計算減碳效益，建立最完整的能源數據收集及對比，全程數據會進行資安管理不會有數據被竄改之疑慮，為有減碳需求的企業提供具公信力且最易執行的減碳方案。我們都清楚社福機構、弱勢團體及偏鄉離島常因經費不足的問題無法建置完善的生活設備。喝水是人類生存至要的關鍵，喝好水更能促進人身健康。我司將水分子解鏈的核心技術，應用於飲用水場域情境，目地是為了提供更安全的飲用水給有需要的社福機構、弱勢團體及偏鄉離島，未來會將公司營利的百分之三投入在此計劃實踐社會公益.</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 xml:space="preserve"> (1).因應ESG潮流來臨提出解決之商業模式 : 為解決空調冷卻水塔機組節省能耗及降低碳排放的目 </w:t>
            </w:r>
            <w:r>
              <w:rPr>
                <w:rFonts w:eastAsia="標楷體" w:hint="eastAsia"/>
                <w:color w:val="808080" w:themeColor="background1" w:themeShade="80"/>
                <w:szCs w:val="20"/>
              </w:rPr>
              <w:br/>
            </w:r>
            <w:r>
              <w:rPr>
                <w:rFonts w:eastAsia="標楷體" w:hint="eastAsia"/>
                <w:color w:val="808080" w:themeColor="background1" w:themeShade="80"/>
                <w:szCs w:val="20"/>
              </w:rPr>
              <w:t xml:space="preserve">        題，本提案規劃在空調冷卻水塔機組現場安裝數據收集設備(IOT)，量測之數據透過wifi上傳至</w:t>
            </w:r>
            <w:r>
              <w:rPr>
                <w:rFonts w:eastAsia="標楷體" w:hint="eastAsia"/>
                <w:color w:val="808080" w:themeColor="background1" w:themeShade="80"/>
                <w:szCs w:val="20"/>
              </w:rPr>
              <w:br/>
            </w:r>
            <w:r>
              <w:rPr>
                <w:rFonts w:eastAsia="標楷體" w:hint="eastAsia"/>
                <w:color w:val="808080" w:themeColor="background1" w:themeShade="80"/>
                <w:szCs w:val="20"/>
              </w:rPr>
              <w:t xml:space="preserve">        雲端後，數據結果可呈現於手機及電腦上，隨時登錄隨時查閱，提供給企業解決碳排放的數位</w:t>
            </w:r>
            <w:r>
              <w:rPr>
                <w:rFonts w:eastAsia="標楷體" w:hint="eastAsia"/>
                <w:color w:val="808080" w:themeColor="background1" w:themeShade="80"/>
                <w:szCs w:val="20"/>
              </w:rPr>
              <w:br/>
            </w:r>
            <w:r>
              <w:rPr>
                <w:rFonts w:eastAsia="標楷體" w:hint="eastAsia"/>
                <w:color w:val="808080" w:themeColor="background1" w:themeShade="80"/>
                <w:szCs w:val="20"/>
              </w:rPr>
              <w:t xml:space="preserve">        化方案，響應產業數化轉型升級的號召。</w:t>
            </w:r>
            <w:r>
              <w:rPr>
                <w:rFonts w:eastAsia="標楷體" w:hint="eastAsia"/>
                <w:color w:val="808080" w:themeColor="background1" w:themeShade="80"/>
                <w:szCs w:val="20"/>
              </w:rPr>
              <w:br/>
            </w:r>
            <w:r>
              <w:rPr>
                <w:rFonts w:eastAsia="標楷體" w:hint="eastAsia"/>
                <w:color w:val="808080" w:themeColor="background1" w:themeShade="80"/>
                <w:szCs w:val="20"/>
              </w:rPr>
              <w:t xml:space="preserve"> (2).技術重點:目前市場上針對空調冷卻水塔機組節能降低碳排放尚未有實際的解決方案及數位化的 </w:t>
            </w:r>
            <w:r>
              <w:rPr>
                <w:rFonts w:eastAsia="標楷體" w:hint="eastAsia"/>
                <w:color w:val="808080" w:themeColor="background1" w:themeShade="80"/>
                <w:szCs w:val="20"/>
              </w:rPr>
              <w:br/>
            </w:r>
            <w:r>
              <w:rPr>
                <w:rFonts w:eastAsia="標楷體" w:hint="eastAsia"/>
                <w:color w:val="808080" w:themeColor="background1" w:themeShade="80"/>
                <w:szCs w:val="20"/>
              </w:rPr>
              <w:t xml:space="preserve">        解決流程，空調冷卻水塔機組結構上由冰水系統及冷卻水系統兩個部分組成，目前市場絕大部 </w:t>
            </w:r>
            <w:r>
              <w:rPr>
                <w:rFonts w:eastAsia="標楷體" w:hint="eastAsia"/>
                <w:color w:val="808080" w:themeColor="background1" w:themeShade="80"/>
                <w:szCs w:val="20"/>
              </w:rPr>
              <w:br/>
            </w:r>
            <w:r>
              <w:rPr>
                <w:rFonts w:eastAsia="標楷體" w:hint="eastAsia"/>
                <w:color w:val="808080" w:themeColor="background1" w:themeShade="80"/>
                <w:szCs w:val="20"/>
              </w:rPr>
              <w:t xml:space="preserve">        分都是從冰水主機下手進行節能處理，可是成效有限。而冷卻水塔系統節能市場上並無廠商或 </w:t>
            </w:r>
            <w:r>
              <w:rPr>
                <w:rFonts w:eastAsia="標楷體" w:hint="eastAsia"/>
                <w:color w:val="808080" w:themeColor="background1" w:themeShade="80"/>
                <w:szCs w:val="20"/>
              </w:rPr>
              <w:br/>
            </w:r>
            <w:r>
              <w:rPr>
                <w:rFonts w:eastAsia="標楷體" w:hint="eastAsia"/>
                <w:color w:val="808080" w:themeColor="background1" w:themeShade="80"/>
                <w:szCs w:val="20"/>
              </w:rPr>
              <w:t xml:space="preserve">        方案導入，原由是成本高、難度大。因此我方導入水分子解鏈技術，此技術可強效去除機組內 </w:t>
            </w:r>
            <w:r>
              <w:rPr>
                <w:rFonts w:eastAsia="標楷體" w:hint="eastAsia"/>
                <w:color w:val="808080" w:themeColor="background1" w:themeShade="80"/>
                <w:szCs w:val="20"/>
              </w:rPr>
              <w:br/>
            </w:r>
            <w:r>
              <w:rPr>
                <w:rFonts w:eastAsia="標楷體" w:hint="eastAsia"/>
                <w:color w:val="808080" w:themeColor="background1" w:themeShade="80"/>
                <w:szCs w:val="20"/>
              </w:rPr>
              <w:t xml:space="preserve">        原有水垢，且讓水垢不會生成，這特點非常重要。也是目前市場上做不到的，前面的論述已提 </w:t>
            </w:r>
            <w:r>
              <w:rPr>
                <w:rFonts w:eastAsia="標楷體" w:hint="eastAsia"/>
                <w:color w:val="808080" w:themeColor="background1" w:themeShade="80"/>
                <w:szCs w:val="20"/>
              </w:rPr>
              <w:br/>
            </w:r>
            <w:r>
              <w:rPr>
                <w:rFonts w:eastAsia="標楷體" w:hint="eastAsia"/>
                <w:color w:val="808080" w:themeColor="background1" w:themeShade="80"/>
                <w:szCs w:val="20"/>
              </w:rPr>
              <w:t xml:space="preserve">        及空調冷卻水塔機組只要沒有水垢的影響，冷卻水塔散熱效率會變得非常好，冰水主機就可以 </w:t>
            </w:r>
            <w:r>
              <w:rPr>
                <w:rFonts w:eastAsia="標楷體" w:hint="eastAsia"/>
                <w:color w:val="808080" w:themeColor="background1" w:themeShade="80"/>
                <w:szCs w:val="20"/>
              </w:rPr>
              <w:br/>
            </w:r>
            <w:r>
              <w:rPr>
                <w:rFonts w:eastAsia="標楷體" w:hint="eastAsia"/>
                <w:color w:val="808080" w:themeColor="background1" w:themeShade="80"/>
                <w:szCs w:val="20"/>
              </w:rPr>
              <w:t xml:space="preserve">        發揮最好的製冷效率，節省能耗降低碳排放。</w:t>
            </w:r>
            <w:r>
              <w:rPr>
                <w:rFonts w:eastAsia="標楷體" w:hint="eastAsia"/>
                <w:color w:val="808080" w:themeColor="background1" w:themeShade="80"/>
                <w:szCs w:val="20"/>
              </w:rPr>
              <w:br/>
            </w:r>
            <w:r>
              <w:rPr>
                <w:rFonts w:eastAsia="標楷體" w:hint="eastAsia"/>
                <w:color w:val="808080" w:themeColor="background1" w:themeShade="80"/>
                <w:szCs w:val="20"/>
              </w:rPr>
              <w:t xml:space="preserve"> (3).市場可行性 : 減碳方案採租賃制        </w:t>
            </w:r>
            <w:r>
              <w:rPr>
                <w:rFonts w:eastAsia="標楷體" w:hint="eastAsia"/>
                <w:color w:val="808080" w:themeColor="background1" w:themeShade="80"/>
                <w:szCs w:val="20"/>
              </w:rPr>
              <w:br/>
            </w:r>
            <w:r>
              <w:rPr>
                <w:rFonts w:eastAsia="標楷體" w:hint="eastAsia"/>
                <w:color w:val="808080" w:themeColor="background1" w:themeShade="80"/>
                <w:szCs w:val="20"/>
              </w:rPr>
              <w:t xml:space="preserve">       *全台1779家上市櫃企業都要節能減碳，這是政府的要求及世界的趨勢，符合ESG減碳節能，針 </w:t>
            </w:r>
            <w:r>
              <w:rPr>
                <w:rFonts w:eastAsia="標楷體" w:hint="eastAsia"/>
                <w:color w:val="808080" w:themeColor="background1" w:themeShade="80"/>
                <w:szCs w:val="20"/>
              </w:rPr>
              <w:br/>
            </w:r>
            <w:r>
              <w:rPr>
                <w:rFonts w:eastAsia="標楷體" w:hint="eastAsia"/>
                <w:color w:val="808080" w:themeColor="background1" w:themeShade="80"/>
                <w:szCs w:val="20"/>
              </w:rPr>
              <w:t xml:space="preserve">         對空調冷卻水塔機組提供最佳降低碳排放之解決方案。我方是以節省能耗為基礎，實現減碳目 </w:t>
            </w:r>
            <w:r>
              <w:rPr>
                <w:rFonts w:eastAsia="標楷體" w:hint="eastAsia"/>
                <w:color w:val="808080" w:themeColor="background1" w:themeShade="80"/>
                <w:szCs w:val="20"/>
              </w:rPr>
              <w:br/>
            </w:r>
            <w:r>
              <w:rPr>
                <w:rFonts w:eastAsia="標楷體" w:hint="eastAsia"/>
                <w:color w:val="808080" w:themeColor="background1" w:themeShade="80"/>
                <w:szCs w:val="20"/>
              </w:rPr>
              <w:t xml:space="preserve">         標，是業界回收期最短的減碳方案，具有價格上的優勢。</w:t>
            </w:r>
            <w:r>
              <w:rPr>
                <w:rFonts w:eastAsia="標楷體" w:hint="eastAsia"/>
                <w:color w:val="808080" w:themeColor="background1" w:themeShade="80"/>
                <w:szCs w:val="20"/>
              </w:rPr>
              <w:br/>
            </w:r>
            <w:r>
              <w:rPr>
                <w:rFonts w:eastAsia="標楷體" w:hint="eastAsia"/>
                <w:color w:val="808080" w:themeColor="background1" w:themeShade="80"/>
                <w:szCs w:val="20"/>
              </w:rPr>
              <w:t xml:space="preserve">       *只要有空調冷卻水塔機組且此環節用電量占全公司30%比例以上的企業單位，皆是需要我方項 </w:t>
            </w:r>
            <w:r>
              <w:rPr>
                <w:rFonts w:eastAsia="標楷體" w:hint="eastAsia"/>
                <w:color w:val="808080" w:themeColor="background1" w:themeShade="80"/>
                <w:szCs w:val="20"/>
              </w:rPr>
              <w:br/>
            </w:r>
            <w:r>
              <w:rPr>
                <w:rFonts w:eastAsia="標楷體" w:hint="eastAsia"/>
                <w:color w:val="808080" w:themeColor="background1" w:themeShade="80"/>
                <w:szCs w:val="20"/>
              </w:rPr>
              <w:t xml:space="preserve">         目服務的對象(上市櫃企業、醫院、購物中心、機場、捷運站、商辦)</w:t>
            </w:r>
            <w:r>
              <w:rPr>
                <w:rFonts w:eastAsia="標楷體" w:hint="eastAsia"/>
                <w:color w:val="808080" w:themeColor="background1" w:themeShade="80"/>
                <w:szCs w:val="20"/>
              </w:rPr>
              <w:br/>
            </w:r>
            <w:r>
              <w:rPr>
                <w:rFonts w:eastAsia="標楷體" w:hint="eastAsia"/>
                <w:color w:val="808080" w:themeColor="background1" w:themeShade="80"/>
                <w:szCs w:val="20"/>
              </w:rPr>
              <w:t xml:space="preserve">       *只要有空調冷卻水塔機組，就一定要除垢，不然就會很耗電，增加碳排放，市場除了台灣外， </w:t>
            </w:r>
            <w:r>
              <w:rPr>
                <w:rFonts w:eastAsia="標楷體" w:hint="eastAsia"/>
                <w:color w:val="808080" w:themeColor="background1" w:themeShade="80"/>
                <w:szCs w:val="20"/>
              </w:rPr>
              <w:br/>
            </w:r>
            <w:r>
              <w:rPr>
                <w:rFonts w:eastAsia="標楷體" w:hint="eastAsia"/>
                <w:color w:val="808080" w:themeColor="background1" w:themeShade="80"/>
                <w:szCs w:val="20"/>
              </w:rPr>
              <w:t xml:space="preserve">         目前大陸、東南亞空調冷卻水垢的問題無法解決，且常年高溫，空調機組用電量非常高，碳排 </w:t>
            </w:r>
            <w:r>
              <w:rPr>
                <w:rFonts w:eastAsia="標楷體" w:hint="eastAsia"/>
                <w:color w:val="808080" w:themeColor="background1" w:themeShade="80"/>
                <w:szCs w:val="20"/>
              </w:rPr>
              <w:br/>
            </w:r>
            <w:r>
              <w:rPr>
                <w:rFonts w:eastAsia="標楷體" w:hint="eastAsia"/>
                <w:color w:val="808080" w:themeColor="background1" w:themeShade="80"/>
                <w:szCs w:val="20"/>
              </w:rPr>
              <w:t xml:space="preserve">         放量更是高的驚人，未來透過數位化方案，可推廣至東南亞及大陸市場。</w:t>
            </w:r>
            <w:r>
              <w:rPr>
                <w:rFonts w:eastAsia="標楷體" w:hint="eastAsia"/>
                <w:color w:val="808080" w:themeColor="background1" w:themeShade="80"/>
                <w:szCs w:val="20"/>
              </w:rPr>
              <w:br/>
            </w:r>
            <w:r>
              <w:rPr>
                <w:rFonts w:eastAsia="標楷體" w:hint="eastAsia"/>
                <w:color w:val="808080" w:themeColor="background1" w:themeShade="80"/>
                <w:szCs w:val="20"/>
              </w:rPr>
              <w:t xml:space="preserve">      </w:t>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【核心團隊】</w:t>
            </w:r>
            <w:r>
              <w:rPr>
                <w:rFonts w:eastAsia="標楷體" w:hint="eastAsia"/>
                <w:color w:val="808080" w:themeColor="background1" w:themeShade="80"/>
                <w:szCs w:val="20"/>
              </w:rPr>
              <w:br/>
            </w:r>
            <w:r>
              <w:rPr>
                <w:rFonts w:eastAsia="標楷體" w:hint="eastAsia"/>
                <w:color w:val="808080" w:themeColor="background1" w:themeShade="80"/>
                <w:szCs w:val="20"/>
              </w:rPr>
              <w:t>(1).宋富璘先生。 職稱:總經理 COO。 工作職掌:公司管理、各項資源協調。</w:t>
            </w:r>
            <w:r>
              <w:rPr>
                <w:rFonts w:eastAsia="標楷體" w:hint="eastAsia"/>
                <w:color w:val="808080" w:themeColor="background1" w:themeShade="80"/>
                <w:szCs w:val="20"/>
              </w:rPr>
              <w:br/>
            </w:r>
            <w:r>
              <w:rPr>
                <w:rFonts w:eastAsia="標楷體" w:hint="eastAsia"/>
                <w:color w:val="808080" w:themeColor="background1" w:themeShade="80"/>
                <w:szCs w:val="20"/>
              </w:rPr>
              <w:t>(2).余國賢先生。 職稱:技術長  CTO。 工作職掌:專注於水分子解鏈技術研究。</w:t>
            </w:r>
            <w:r>
              <w:rPr>
                <w:rFonts w:eastAsia="標楷體" w:hint="eastAsia"/>
                <w:color w:val="808080" w:themeColor="background1" w:themeShade="80"/>
                <w:szCs w:val="20"/>
              </w:rPr>
              <w:br/>
            </w:r>
            <w:r>
              <w:rPr>
                <w:rFonts w:eastAsia="標楷體" w:hint="eastAsia"/>
                <w:color w:val="808080" w:themeColor="background1" w:themeShade="80"/>
                <w:szCs w:val="20"/>
              </w:rPr>
              <w:t>(3).陳炳松先生。 職稱:研發長    RD。 工作職掌:液體共振原理的理論建立與系列產品應用研發。</w:t>
            </w:r>
            <w:r>
              <w:rPr>
                <w:rFonts w:eastAsia="標楷體" w:hint="eastAsia"/>
                <w:color w:val="808080" w:themeColor="background1" w:themeShade="80"/>
                <w:szCs w:val="20"/>
              </w:rPr>
              <w:br/>
            </w:r>
            <w:r>
              <w:rPr>
                <w:rFonts w:eastAsia="標楷體" w:hint="eastAsia"/>
                <w:color w:val="808080" w:themeColor="background1" w:themeShade="80"/>
                <w:szCs w:val="20"/>
              </w:rPr>
              <w:t>(4).賴美鳳博士。 職稱:開發總監PE。 工作職掌:新材料科技設備與技術開發。</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【年度成果】</w:t>
            </w:r>
            <w:r>
              <w:rPr>
                <w:rFonts w:eastAsia="標楷體" w:hint="eastAsia"/>
                <w:color w:val="808080" w:themeColor="background1" w:themeShade="80"/>
                <w:szCs w:val="20"/>
              </w:rPr>
              <w:br/>
            </w:r>
            <w:r>
              <w:rPr>
                <w:rFonts w:eastAsia="標楷體" w:hint="eastAsia"/>
                <w:color w:val="808080" w:themeColor="background1" w:themeShade="80"/>
                <w:szCs w:val="20"/>
              </w:rPr>
              <w:t>(1).2022新創千里馬 – 主題新創組銀獎、永續綠能組銅獎。</w:t>
            </w:r>
            <w:r>
              <w:rPr>
                <w:rFonts w:eastAsia="標楷體" w:hint="eastAsia"/>
                <w:color w:val="808080" w:themeColor="background1" w:themeShade="80"/>
                <w:szCs w:val="20"/>
              </w:rPr>
              <w:br/>
            </w:r>
            <w:r>
              <w:rPr>
                <w:rFonts w:eastAsia="標楷體" w:hint="eastAsia"/>
                <w:color w:val="808080" w:themeColor="background1" w:themeShade="80"/>
                <w:szCs w:val="20"/>
              </w:rPr>
              <w:t>(2).2023入選台灣公益.創新徵案100 第一階段。</w:t>
            </w:r>
            <w:r>
              <w:rPr>
                <w:rFonts w:eastAsia="標楷體" w:hint="eastAsia"/>
                <w:color w:val="808080" w:themeColor="background1" w:themeShade="80"/>
                <w:szCs w:val="20"/>
              </w:rPr>
              <w:br/>
            </w:r>
            <w:r>
              <w:rPr>
                <w:rFonts w:eastAsia="標楷體" w:hint="eastAsia"/>
                <w:color w:val="808080" w:themeColor="background1" w:themeShade="80"/>
                <w:szCs w:val="20"/>
              </w:rPr>
              <w:t>(3).2023桃園新創之星*創天下 青創實踐組金獎。</w:t>
            </w:r>
            <w:r>
              <w:rPr>
                <w:rFonts w:eastAsia="標楷體" w:hint="eastAsia"/>
                <w:color w:val="808080" w:themeColor="background1" w:themeShade="80"/>
                <w:szCs w:val="20"/>
              </w:rPr>
              <w:br/>
            </w:r>
            <w:r>
              <w:rPr>
                <w:rFonts w:eastAsia="標楷體" w:hint="eastAsia"/>
                <w:color w:val="808080" w:themeColor="background1" w:themeShade="80"/>
                <w:szCs w:val="20"/>
              </w:rPr>
              <w:t>(4).2023發明專利核准 發明第 I806746號【水垢清除裝置之容器結構及其製造方法】。</w:t>
            </w:r>
            <w:r>
              <w:rPr>
                <w:rFonts w:eastAsia="標楷體" w:hint="eastAsia"/>
                <w:color w:val="808080" w:themeColor="background1" w:themeShade="80"/>
                <w:szCs w:val="20"/>
              </w:rPr>
              <w:br/>
            </w:r>
            <w:r>
              <w:rPr>
                <w:rFonts w:eastAsia="標楷體" w:hint="eastAsia"/>
                <w:color w:val="808080" w:themeColor="background1" w:themeShade="80"/>
                <w:szCs w:val="20"/>
              </w:rPr>
              <w:t>(5).2023入選數位發展署 公益創新徵案100 第二階段</w:t>
            </w:r>
            <w:r>
              <w:rPr>
                <w:rFonts w:eastAsia="標楷體" w:hint="eastAsia"/>
                <w:color w:val="808080" w:themeColor="background1" w:themeShade="80"/>
                <w:szCs w:val="20"/>
              </w:rPr>
              <w:br/>
            </w:r>
            <w:r>
              <w:rPr>
                <w:rFonts w:eastAsia="標楷體" w:hint="eastAsia"/>
                <w:color w:val="808080" w:themeColor="background1" w:themeShade="80"/>
                <w:szCs w:val="20"/>
              </w:rPr>
              <w:t>(6).2023資訊應用服務創新創業新秀選拔 金牌</w:t>
            </w:r>
            <w:r>
              <w:rPr>
                <w:rFonts w:eastAsia="標楷體" w:hint="eastAsia"/>
                <w:color w:val="808080" w:themeColor="background1" w:themeShade="80"/>
                <w:szCs w:val="20"/>
              </w:rPr>
              <w:br/>
            </w:r>
            <w:r>
              <w:rPr>
                <w:rFonts w:eastAsia="標楷體" w:hint="eastAsia"/>
                <w:color w:val="808080" w:themeColor="background1" w:themeShade="80"/>
                <w:szCs w:val="20"/>
              </w:rPr>
              <w:t>(7).2023IMV科技創新獎金競賽 企業組 節能創新類第三名</w:t>
            </w:r>
            <w:r>
              <w:rPr>
                <w:rFonts w:eastAsia="標楷體" w:hint="eastAsia"/>
                <w:color w:val="808080" w:themeColor="background1" w:themeShade="80"/>
                <w:szCs w:val="20"/>
              </w:rPr>
              <w:br/>
            </w:r>
            <w:r>
              <w:rPr>
                <w:rFonts w:eastAsia="標楷體" w:hint="eastAsia"/>
                <w:color w:val="808080" w:themeColor="background1" w:themeShade="80"/>
                <w:szCs w:val="20"/>
              </w:rPr>
              <w:t>(8).2024入選數位發展署 公益創新徵案100 第三階段</w:t>
            </w:r>
            <w:r>
              <w:rPr>
                <w:rFonts w:eastAsia="標楷體" w:hint="eastAsia"/>
                <w:color w:val="808080" w:themeColor="background1" w:themeShade="80"/>
                <w:szCs w:val="20"/>
              </w:rPr>
              <w:br/>
            </w:r>
            <w:r>
              <w:rPr>
                <w:rFonts w:eastAsia="標楷體" w:hint="eastAsia"/>
                <w:color w:val="808080" w:themeColor="background1" w:themeShade="80"/>
                <w:szCs w:val="20"/>
              </w:rPr>
              <w:t>(9).2024公益創新徵案100 之社會價值與影響力評估工作坊 完訓證明</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影響力對於台灣企業:</w:t>
            </w:r>
            <w:r>
              <w:rPr>
                <w:rFonts w:eastAsia="標楷體" w:hint="eastAsia"/>
                <w:color w:val="808080" w:themeColor="background1" w:themeShade="80"/>
                <w:szCs w:val="20"/>
              </w:rPr>
              <w:br/>
            </w:r>
            <w:r>
              <w:rPr>
                <w:rFonts w:eastAsia="標楷體" w:hint="eastAsia"/>
                <w:color w:val="808080" w:themeColor="background1" w:themeShade="80"/>
                <w:szCs w:val="20"/>
              </w:rPr>
              <w:t xml:space="preserve">    A.找出改善能源使用的機會。 </w:t>
            </w:r>
            <w:r>
              <w:rPr>
                <w:rFonts w:eastAsia="標楷體" w:hint="eastAsia"/>
                <w:color w:val="808080" w:themeColor="background1" w:themeShade="80"/>
                <w:szCs w:val="20"/>
              </w:rPr>
              <w:br/>
            </w:r>
            <w:r>
              <w:rPr>
                <w:rFonts w:eastAsia="標楷體" w:hint="eastAsia"/>
                <w:color w:val="808080" w:themeColor="background1" w:themeShade="80"/>
                <w:szCs w:val="20"/>
              </w:rPr>
              <w:t xml:space="preserve">    B.企業降低碳排放(足跡)，益於產品進出口。</w:t>
            </w:r>
            <w:r>
              <w:rPr>
                <w:rFonts w:eastAsia="標楷體" w:hint="eastAsia"/>
                <w:color w:val="808080" w:themeColor="background1" w:themeShade="80"/>
                <w:szCs w:val="20"/>
              </w:rPr>
              <w:br/>
            </w:r>
            <w:r>
              <w:rPr>
                <w:rFonts w:eastAsia="標楷體" w:hint="eastAsia"/>
                <w:color w:val="808080" w:themeColor="background1" w:themeShade="80"/>
                <w:szCs w:val="20"/>
              </w:rPr>
              <w:t xml:space="preserve">    C.提升企業綠色形象。</w:t>
            </w:r>
            <w:r>
              <w:rPr>
                <w:rFonts w:eastAsia="標楷體" w:hint="eastAsia"/>
                <w:color w:val="808080" w:themeColor="background1" w:themeShade="80"/>
                <w:szCs w:val="20"/>
              </w:rPr>
              <w:br/>
            </w:r>
            <w:r>
              <w:rPr>
                <w:rFonts w:eastAsia="標楷體" w:hint="eastAsia"/>
                <w:color w:val="808080" w:themeColor="background1" w:themeShade="80"/>
                <w:szCs w:val="20"/>
              </w:rPr>
              <w:t xml:space="preserve">    D.幫助企業完成2030降低20%碳排放階段性目標。</w:t>
            </w:r>
            <w:r>
              <w:rPr>
                <w:rFonts w:eastAsia="標楷體" w:hint="eastAsia"/>
                <w:color w:val="808080" w:themeColor="background1" w:themeShade="80"/>
                <w:szCs w:val="20"/>
              </w:rPr>
              <w:br/>
            </w:r>
            <w:r>
              <w:rPr>
                <w:rFonts w:eastAsia="標楷體" w:hint="eastAsia"/>
                <w:color w:val="808080" w:themeColor="background1" w:themeShade="80"/>
                <w:szCs w:val="20"/>
              </w:rPr>
              <w:t xml:space="preserve">    E.實現低碳數位化的減碳政策。</w:t>
            </w:r>
            <w:r>
              <w:rPr>
                <w:rFonts w:eastAsia="標楷體" w:hint="eastAsia"/>
                <w:color w:val="808080" w:themeColor="background1" w:themeShade="80"/>
                <w:szCs w:val="20"/>
              </w:rPr>
              <w:br/>
            </w:r>
            <w:r>
              <w:rPr>
                <w:rFonts w:eastAsia="標楷體" w:hint="eastAsia"/>
                <w:color w:val="808080" w:themeColor="background1" w:themeShade="80"/>
                <w:szCs w:val="20"/>
              </w:rPr>
              <w:t>影響力對於環境守護:</w:t>
            </w:r>
            <w:r>
              <w:rPr>
                <w:rFonts w:eastAsia="標楷體" w:hint="eastAsia"/>
                <w:color w:val="808080" w:themeColor="background1" w:themeShade="80"/>
                <w:szCs w:val="20"/>
              </w:rPr>
              <w:br/>
            </w:r>
            <w:r>
              <w:rPr>
                <w:rFonts w:eastAsia="標楷體" w:hint="eastAsia"/>
                <w:color w:val="808080" w:themeColor="background1" w:themeShade="80"/>
                <w:szCs w:val="20"/>
              </w:rPr>
              <w:t xml:space="preserve">    A.減少溫室氣體的產生，減緩全球暖化的速度。</w:t>
            </w:r>
            <w:r>
              <w:rPr>
                <w:rFonts w:eastAsia="標楷體" w:hint="eastAsia"/>
                <w:color w:val="808080" w:themeColor="background1" w:themeShade="80"/>
                <w:szCs w:val="20"/>
              </w:rPr>
              <w:br/>
            </w:r>
            <w:r>
              <w:rPr>
                <w:rFonts w:eastAsia="標楷體" w:hint="eastAsia"/>
                <w:color w:val="808080" w:themeColor="background1" w:themeShade="80"/>
                <w:szCs w:val="20"/>
              </w:rPr>
              <w:t xml:space="preserve">    B.營造一個健康、舒適、安全的生存環境.</w:t>
            </w:r>
            <w:r>
              <w:rPr>
                <w:rFonts w:eastAsia="標楷體" w:hint="eastAsia"/>
                <w:color w:val="808080" w:themeColor="background1" w:themeShade="80"/>
                <w:szCs w:val="20"/>
              </w:rPr>
              <w:br/>
            </w:r>
            <w:r>
              <w:rPr>
                <w:rFonts w:eastAsia="標楷體" w:hint="eastAsia"/>
                <w:color w:val="808080" w:themeColor="background1" w:themeShade="80"/>
                <w:szCs w:val="20"/>
              </w:rPr>
              <w:t xml:space="preserve">    C.減少資源的浪費，增加下一代也能使用資源的機會。</w:t>
            </w:r>
            <w:r>
              <w:rPr>
                <w:rFonts w:eastAsia="標楷體" w:hint="eastAsia"/>
                <w:color w:val="808080" w:themeColor="background1" w:themeShade="80"/>
                <w:szCs w:val="20"/>
              </w:rPr>
              <w:br/>
            </w:r>
            <w:r>
              <w:rPr>
                <w:rFonts w:eastAsia="標楷體" w:hint="eastAsia"/>
                <w:color w:val="808080" w:themeColor="background1" w:themeShade="80"/>
                <w:szCs w:val="20"/>
              </w:rPr>
              <w:t xml:space="preserve">    D.減碳已不只是環保議題，也是攸關我國國際競爭力的國際經濟產業課題。</w:t>
            </w:r>
            <w:r>
              <w:rPr>
                <w:rFonts w:eastAsia="標楷體" w:hint="eastAsia"/>
                <w:color w:val="808080" w:themeColor="background1" w:themeShade="80"/>
                <w:szCs w:val="20"/>
              </w:rPr>
              <w:br/>
            </w:r>
            <w:r>
              <w:rPr>
                <w:rFonts w:eastAsia="標楷體" w:hint="eastAsia"/>
                <w:color w:val="808080" w:themeColor="background1" w:themeShade="80"/>
                <w:szCs w:val="20"/>
              </w:rPr>
              <w:t>影響力對於社會公益:</w:t>
            </w:r>
            <w:r>
              <w:rPr>
                <w:rFonts w:eastAsia="標楷體" w:hint="eastAsia"/>
                <w:color w:val="808080" w:themeColor="background1" w:themeShade="80"/>
                <w:szCs w:val="20"/>
              </w:rPr>
              <w:br/>
            </w:r>
            <w:r>
              <w:rPr>
                <w:rFonts w:eastAsia="標楷體" w:hint="eastAsia"/>
                <w:color w:val="808080" w:themeColor="background1" w:themeShade="80"/>
                <w:szCs w:val="20"/>
              </w:rPr>
              <w:t xml:space="preserve">   我們都清楚社福機構、弱勢團體及偏鄉離島常因經費不足的問題無法建置完善的生活設備。喝水是人 </w:t>
            </w:r>
            <w:r>
              <w:rPr>
                <w:rFonts w:eastAsia="標楷體" w:hint="eastAsia"/>
                <w:color w:val="808080" w:themeColor="background1" w:themeShade="80"/>
                <w:szCs w:val="20"/>
              </w:rPr>
              <w:br/>
            </w:r>
            <w:r>
              <w:rPr>
                <w:rFonts w:eastAsia="標楷體" w:hint="eastAsia"/>
                <w:color w:val="808080" w:themeColor="background1" w:themeShade="80"/>
                <w:szCs w:val="20"/>
              </w:rPr>
              <w:t xml:space="preserve">   類生存至要的關鍵，喝好水更能促進人身健康。我司將水分子解鏈的核心技術，應用於飲用水場域情 </w:t>
            </w:r>
            <w:r>
              <w:rPr>
                <w:rFonts w:eastAsia="標楷體" w:hint="eastAsia"/>
                <w:color w:val="808080" w:themeColor="background1" w:themeShade="80"/>
                <w:szCs w:val="20"/>
              </w:rPr>
              <w:br/>
            </w:r>
            <w:r>
              <w:rPr>
                <w:rFonts w:eastAsia="標楷體" w:hint="eastAsia"/>
                <w:color w:val="808080" w:themeColor="background1" w:themeShade="80"/>
                <w:szCs w:val="20"/>
              </w:rPr>
              <w:t xml:space="preserve">   境，目地是為了提供更安全的飲用水給有需要的社福機構、弱勢團體及偏鄉離島，未來會將公司營 </w:t>
            </w:r>
            <w:r>
              <w:rPr>
                <w:rFonts w:eastAsia="標楷體" w:hint="eastAsia"/>
                <w:color w:val="808080" w:themeColor="background1" w:themeShade="80"/>
                <w:szCs w:val="20"/>
              </w:rPr>
              <w:br/>
            </w:r>
            <w:r>
              <w:rPr>
                <w:rFonts w:eastAsia="標楷體" w:hint="eastAsia"/>
                <w:color w:val="808080" w:themeColor="background1" w:themeShade="80"/>
                <w:szCs w:val="20"/>
              </w:rPr>
              <w:t xml:space="preserve">   利的百分之三投入在此計劃實踐社會公益。</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3</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10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80a32aac-534e-439c-bdf7-473e490cc40c.jpeg" Id="Rf10c73bf27c44750"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