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祥圃實業股份有限公司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79070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0c25f089684d457a"/>
                          <a:stretch>
                            <a:fillRect/>
                          </a:stretch>
                        </pic:blipFill>
                        <pic:spPr>
                          <a:xfrm>
                            <a:off x="0" y="0"/>
                            <a:ext cx="1428750" cy="179070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1984-03-14</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吳昆民</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02-25603566#306</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nadia@nicegarden.com.tw</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0910241876</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12483749</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340,000,000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臺北市中山區南京東路2段98號9樓之2</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讓民眾安心吃肉、增加營養並提倡食農教育，生產過程中降低負面衝擊</w:t>
            </w:r>
            <w:r>
              <w:rPr>
                <w:rFonts w:eastAsia="標楷體" w:hint="eastAsia"/>
                <w:color w:val="808080" w:themeColor="background1" w:themeShade="80"/>
                <w:szCs w:val="20"/>
              </w:rPr>
              <w:br/>
            </w:r>
            <w:r>
              <w:rPr>
                <w:rFonts w:eastAsia="標楷體" w:hint="eastAsia"/>
                <w:color w:val="808080" w:themeColor="background1" w:themeShade="80"/>
                <w:szCs w:val="20"/>
              </w:rPr>
              <w:t xml:space="preserve">    2014年餿水油事件等一連串食安問題爆發，引起社會恐慌，民眾擔心健康受到威脅，消費意願降低，近年食安事件依舊，消費者選購產品時更加謹慎小心，導致國內自產豬肉市場衰退，更多小型畜場被迫出局。因此祥圃從源頭把關進行嚴選檢驗，與國內近20餘個養豬場合作出品究好豬，提供可追溯生產履歷之肉品，飼育過程符合動物福利與精準用藥；透過營養的飼糧、精選的品種豬、運輸全程冷鏈等職人工法，提供國人可信賴的必要動物性蛋白質。祥圃於2015年正式成立良作工場推動食農教育，提供社會大眾農食生產過程知識及飲食體驗，提升民眾食農素養，以體恤農民辛勞並珍惜食物。祥圃強調溯源履歷，突破以往社會大眾視養豬場為鄰避設施之既有觀念，產銷過程中減低環境衝擊，諸如沼氣發電、碳足跡認證及廢水回收利用等綠色行動，歷年獲獎無數堪為同業楷模且無私分享，以追求同心共好之核心價值。</w:t>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⚫源頭謹慎把關，確保食的安心 　　</w:t>
            </w:r>
            <w:r>
              <w:rPr>
                <w:rFonts w:eastAsia="標楷體" w:hint="eastAsia"/>
                <w:color w:val="808080" w:themeColor="background1" w:themeShade="80"/>
                <w:szCs w:val="20"/>
              </w:rPr>
              <w:br/>
            </w:r>
            <w:r>
              <w:rPr>
                <w:rFonts w:eastAsia="標楷體" w:hint="eastAsia"/>
                <w:color w:val="808080" w:themeColor="background1" w:themeShade="80"/>
                <w:szCs w:val="20"/>
              </w:rPr>
              <w:t>祥圃銷售優秀的動物營養品，供給國內農牧漁業使用。台南預拌劑工廠，擁有世界級的先進技術與原料，同步生產自有品牌商品，提供在地客戶調製客製化商品，擴充祥圃公司營運陣容。本廠獲得 ISO9001、ISO22000及歐盟飼料預拌劑 FAMI-QS 認證，並採用 Datastor 管控系統，建立動物營養添加劑的溯源履歷制度。</w:t>
            </w:r>
            <w:r>
              <w:rPr>
                <w:rFonts w:eastAsia="標楷體" w:hint="eastAsia"/>
                <w:color w:val="808080" w:themeColor="background1" w:themeShade="80"/>
                <w:szCs w:val="20"/>
              </w:rPr>
              <w:br/>
            </w:r>
            <w:r>
              <w:rPr>
                <w:rFonts w:eastAsia="標楷體" w:hint="eastAsia"/>
                <w:color w:val="808080" w:themeColor="background1" w:themeShade="80"/>
                <w:szCs w:val="20"/>
              </w:rPr>
              <w:t>⚫落實動物福利，實踐循環經濟</w:t>
            </w:r>
            <w:r>
              <w:rPr>
                <w:rFonts w:eastAsia="標楷體" w:hint="eastAsia"/>
                <w:color w:val="808080" w:themeColor="background1" w:themeShade="80"/>
                <w:szCs w:val="20"/>
              </w:rPr>
              <w:br/>
            </w:r>
            <w:r>
              <w:rPr>
                <w:rFonts w:eastAsia="標楷體" w:hint="eastAsia"/>
                <w:color w:val="808080" w:themeColor="background1" w:themeShade="80"/>
                <w:szCs w:val="20"/>
              </w:rPr>
              <w:t>祥圃示範牧場以預防醫學為宗旨、兼顧動物福利的方式飼養豬隻，培育自己的豬肉品牌。用最嚴謹的方式，以人道飼養產出最好豬肉。新合興牧場是亞洲唯一全場獲得「動物人道飼養系統認證」與「友善畜牧飼養系統」雙認證的牧場。讓消費者願意用較高的金額，購買兼顧品質、動物福祉與美味的豬肉，同時提升社會對食物的重視。2019年投入沼氣發電設備的建置，與瑞助營造、逢甲大學綠能科技暨生技產業發展研究中心及亞洲氫能公司，攜手打造全台第一座以二階段高效厭氣發酵技術處理養豬廢水的沼氣發電設備，實踐循環經濟的精神。</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⚫打造豬肉全農食鏈，推出品牌豬肉「究好豬」 　　</w:t>
            </w:r>
            <w:r>
              <w:rPr>
                <w:rFonts w:eastAsia="標楷體" w:hint="eastAsia"/>
                <w:color w:val="808080" w:themeColor="background1" w:themeShade="80"/>
                <w:szCs w:val="20"/>
              </w:rPr>
              <w:br/>
            </w:r>
            <w:r>
              <w:rPr>
                <w:rFonts w:eastAsia="標楷體" w:hint="eastAsia"/>
                <w:color w:val="808080" w:themeColor="background1" w:themeShade="80"/>
                <w:szCs w:val="20"/>
              </w:rPr>
              <w:t>2015 年於雲林縣大埤鄉豐田工業區完成建置分切加工廠—良作工場，同時設立農業文創館。肉品分 切廠效法日式 JAS 標準，低溫專業分切，獨立潔淨加工，全程冷鏈運送，通過 ISO 22000、HACCP、 CAS 肉品認證標章、TAP 產銷履歷等驗證，生產優質安心的臺灣豬肉。農業文創館為集結趣味創意、美食人文、五感體驗及課程講座的活動場域。良作工場是豬肉生產製程中的一環，也是食農教育的平台；是全臺灣第一個全透明開放參觀、第一且唯一獲得黃金級綠建築認證的豬肉分切廠， 也是第一個以農業文創、 畜牧及食品安全為主題的科普推廣場所，在占地 5 千坪的良作工場裡，透過餐飲體驗、畜牧養殖介紹、優良肉品教室、在地食材廚房、文創等，讓大家了解每一口送進嘴裡的豬肉。 　</w:t>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祥圃持續強化公司的治理作業及董事會職能，考量社會、環保及公司治理層面，落實資訊透明度，建構完善公司治理制度，將其納入公司經營管理作業。同時，嚴格管控營運及產品食安風險，達成永續經營的目的。永續發展委員會由董事長擔任召集人，每季召開一次會議，針對 ESG 三大面向推動相關政策，目前有2名專職人員負責執行各項企業永續發展專案。</w:t>
            </w:r>
            <w:r>
              <w:rPr>
                <w:rFonts w:eastAsia="標楷體" w:hint="eastAsia"/>
                <w:color w:val="808080" w:themeColor="background1" w:themeShade="80"/>
                <w:szCs w:val="20"/>
              </w:rPr>
              <w:br/>
            </w:r>
            <w:r>
              <w:rPr>
                <w:rFonts w:eastAsia="標楷體" w:hint="eastAsia"/>
                <w:color w:val="808080" w:themeColor="background1" w:themeShade="80"/>
                <w:szCs w:val="20"/>
              </w:rPr>
              <w:t>良作工場太陽能屋頂具備節能減碳效益、販售農特產品與餐廳選用在地食材，致力於節能減排，降低碳足跡。 餐廳為環保餐廳，不主動提供一次性餐具，餐點採客製化，推廣惜食概念。</w:t>
            </w:r>
            <w:r>
              <w:rPr>
                <w:rFonts w:eastAsia="標楷體" w:hint="eastAsia"/>
                <w:color w:val="808080" w:themeColor="background1" w:themeShade="80"/>
                <w:szCs w:val="20"/>
              </w:rPr>
              <w:br/>
            </w:r>
            <w:r>
              <w:rPr>
                <w:rFonts w:eastAsia="標楷體" w:hint="eastAsia"/>
                <w:color w:val="808080" w:themeColor="background1" w:themeShade="80"/>
                <w:szCs w:val="20"/>
              </w:rPr>
              <w:t>雲林縣在地企業祥圃實業股份有限公司(良作工場農業文創館)榮獲「星級溯源餐廳評鑑-優良供應商」及「綠色工廠標章」雙獎，雲林縣長張麗善表示，恭喜獲獎，值得肯定，歡迎大家來良作工場農業文創館旅遊，館內附設餐廳，即可品嘗到溯源食材-究好豬肉品烹煮的美味料理。(https://www.yunlin.gov.tw/News_Content.aspx?n=1244&amp;s=421796)</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很榮幸能夠獲得雲林縣政府的推薦，代表雲林縣參加第九屆國家環境教育獎選拔。透過參與此次的選拔機緣，能夠打破傳統畜牧與環境間的壁壘，證明畜牧業與環境保護並行不悖，希望能成為產業綠色永續的典範。</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歷年獲得的重要獎項</w:t>
            </w:r>
            <w:r>
              <w:rPr>
                <w:rFonts w:eastAsia="標楷體" w:hint="eastAsia"/>
                <w:color w:val="808080" w:themeColor="background1" w:themeShade="80"/>
                <w:szCs w:val="20"/>
              </w:rPr>
              <w:br/>
            </w:r>
            <w:r>
              <w:rPr>
                <w:rFonts w:eastAsia="標楷體" w:hint="eastAsia"/>
                <w:color w:val="808080" w:themeColor="background1" w:themeShade="80"/>
                <w:szCs w:val="20"/>
              </w:rPr>
              <w:t>2015年 榮獲《台灣生醫暨新農業產業選秀大賽》新農業組 金獎</w:t>
            </w:r>
            <w:r>
              <w:rPr>
                <w:rFonts w:eastAsia="標楷體" w:hint="eastAsia"/>
                <w:color w:val="808080" w:themeColor="background1" w:themeShade="80"/>
                <w:szCs w:val="20"/>
              </w:rPr>
              <w:br/>
            </w:r>
            <w:r>
              <w:rPr>
                <w:rFonts w:eastAsia="標楷體" w:hint="eastAsia"/>
                <w:color w:val="808080" w:themeColor="background1" w:themeShade="80"/>
                <w:szCs w:val="20"/>
              </w:rPr>
              <w:t>2017年 良作工場獲得財團法人台灣建築中心評定為黃金級綠建築標章</w:t>
            </w:r>
            <w:r>
              <w:rPr>
                <w:rFonts w:eastAsia="標楷體" w:hint="eastAsia"/>
                <w:color w:val="808080" w:themeColor="background1" w:themeShade="80"/>
                <w:szCs w:val="20"/>
              </w:rPr>
              <w:br/>
            </w:r>
            <w:r>
              <w:rPr>
                <w:rFonts w:eastAsia="標楷體" w:hint="eastAsia"/>
                <w:color w:val="808080" w:themeColor="background1" w:themeShade="80"/>
                <w:szCs w:val="20"/>
              </w:rPr>
              <w:t>2018年 榮獲國家品質獎典範類的地方經營典範獎</w:t>
            </w:r>
            <w:r>
              <w:rPr>
                <w:rFonts w:eastAsia="標楷體" w:hint="eastAsia"/>
                <w:color w:val="808080" w:themeColor="background1" w:themeShade="80"/>
                <w:szCs w:val="20"/>
              </w:rPr>
              <w:br/>
            </w:r>
            <w:r>
              <w:rPr>
                <w:rFonts w:eastAsia="標楷體" w:hint="eastAsia"/>
                <w:color w:val="808080" w:themeColor="background1" w:themeShade="80"/>
                <w:szCs w:val="20"/>
              </w:rPr>
              <w:t>2019年 榮獲經濟部卓越中堅企業獎</w:t>
            </w:r>
            <w:r>
              <w:rPr>
                <w:rFonts w:eastAsia="標楷體" w:hint="eastAsia"/>
                <w:color w:val="808080" w:themeColor="background1" w:themeShade="80"/>
                <w:szCs w:val="20"/>
              </w:rPr>
              <w:br/>
            </w:r>
            <w:r>
              <w:rPr>
                <w:rFonts w:eastAsia="標楷體" w:hint="eastAsia"/>
                <w:color w:val="808080" w:themeColor="background1" w:themeShade="80"/>
                <w:szCs w:val="20"/>
              </w:rPr>
              <w:t>2019年 榮獲亞洲企業社會責任獎 (AREA) 綠色領導獎</w:t>
            </w:r>
            <w:r>
              <w:rPr>
                <w:rFonts w:eastAsia="標楷體" w:hint="eastAsia"/>
                <w:color w:val="808080" w:themeColor="background1" w:themeShade="80"/>
                <w:szCs w:val="20"/>
              </w:rPr>
              <w:br/>
            </w:r>
            <w:r>
              <w:rPr>
                <w:rFonts w:eastAsia="標楷體" w:hint="eastAsia"/>
                <w:color w:val="808080" w:themeColor="background1" w:themeShade="80"/>
                <w:szCs w:val="20"/>
              </w:rPr>
              <w:t>2021年 榮獲第 20 屆國家磐石獎</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2023年獲得的獎項及認/驗證</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 xml:space="preserve">通過環保署綠色餐廳認證 </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取得經濟部工業局綠色工廠標章</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取得ISO50001能源管理系統驗證</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獲得第9屆國家環境教育獎雲林縣民營事業組第一名</w:t>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祥圃對於全球永續及企業社會責任相關趨勢與議題均十分關注，期望能引領潮流並發揮企業影響力，讓更多正向的能量擴散開來。祥圃審視內部在永續發展、企業能力、利害關係人對ESG議題關切度等等因素後，決定積極回應「2消除飢餓」、「4教育品質」、「12責任消費與生產」等目標，期能在永續發展的大舞臺上，與全球共同努力的目標接軌，共同促進 SDGs之成功。</w:t>
            </w:r>
            <w:r>
              <w:rPr>
                <w:rFonts w:eastAsia="標楷體" w:hint="eastAsia"/>
                <w:color w:val="808080" w:themeColor="background1" w:themeShade="80"/>
                <w:szCs w:val="20"/>
              </w:rPr>
              <w:br/>
            </w:r>
            <w:r>
              <w:rPr>
                <w:rFonts w:eastAsia="標楷體" w:hint="eastAsia"/>
                <w:color w:val="808080" w:themeColor="background1" w:themeShade="80"/>
                <w:szCs w:val="20"/>
              </w:rPr>
              <w:t>⚫SDGs2 消除飢餓</w:t>
            </w:r>
            <w:r>
              <w:rPr>
                <w:rFonts w:eastAsia="標楷體" w:hint="eastAsia"/>
                <w:color w:val="808080" w:themeColor="background1" w:themeShade="80"/>
                <w:szCs w:val="20"/>
              </w:rPr>
              <w:br/>
            </w:r>
            <w:r>
              <w:rPr>
                <w:rFonts w:eastAsia="標楷體" w:hint="eastAsia"/>
                <w:color w:val="808080" w:themeColor="background1" w:themeShade="80"/>
                <w:szCs w:val="20"/>
              </w:rPr>
              <w:t>祥圃整合豬肉垂直農食鏈，從事豬肉一級生產、二級加工到三級販售及食農推廣服務，積極提升臺灣農業生產者的社經地位。祥圃之社會共融則從社區出發，長年捐贈肉品及食材，以提升如銀髮族、體育班青少年動物性蛋白質充分攝取量，透過經營地方關係進而帶動社會整體良善正向循環。</w:t>
            </w:r>
            <w:r>
              <w:rPr>
                <w:rFonts w:eastAsia="標楷體" w:hint="eastAsia"/>
                <w:color w:val="808080" w:themeColor="background1" w:themeShade="80"/>
                <w:szCs w:val="20"/>
              </w:rPr>
              <w:br/>
            </w:r>
            <w:r>
              <w:rPr>
                <w:rFonts w:eastAsia="標楷體" w:hint="eastAsia"/>
                <w:color w:val="808080" w:themeColor="background1" w:themeShade="80"/>
                <w:szCs w:val="20"/>
              </w:rPr>
              <w:t>⚫SDGs4優質教育</w:t>
            </w:r>
            <w:r>
              <w:rPr>
                <w:rFonts w:eastAsia="標楷體" w:hint="eastAsia"/>
                <w:color w:val="808080" w:themeColor="background1" w:themeShade="80"/>
                <w:szCs w:val="20"/>
              </w:rPr>
              <w:br/>
            </w:r>
            <w:r>
              <w:rPr>
                <w:rFonts w:eastAsia="標楷體" w:hint="eastAsia"/>
                <w:color w:val="808080" w:themeColor="background1" w:themeShade="80"/>
                <w:szCs w:val="20"/>
              </w:rPr>
              <w:t>經統計2021年至2023年3月份止完成 527 場次的綠色食農教育活動，共服務 9,223 人次，透過導覽與體驗活動，打破遊客對傳統畜牧業的既定觀感，使其了解畜牧與環境可以和平共處，以及透過吃體驗原食的感動。最後透過課程反饋可以讓人員反覆實施練習讓活動優化。目前每年約4,000名參觀食農教育課程的學員，我們規劃每年以10%的比例增加，至5年後可達到每年6,000人次/年。</w:t>
            </w:r>
            <w:r>
              <w:rPr>
                <w:rFonts w:eastAsia="標楷體" w:hint="eastAsia"/>
                <w:color w:val="808080" w:themeColor="background1" w:themeShade="80"/>
                <w:szCs w:val="20"/>
              </w:rPr>
              <w:br/>
            </w:r>
            <w:r>
              <w:rPr>
                <w:rFonts w:eastAsia="標楷體" w:hint="eastAsia"/>
                <w:color w:val="808080" w:themeColor="background1" w:themeShade="80"/>
                <w:szCs w:val="20"/>
              </w:rPr>
              <w:t>⚫SDGs12產消責任</w:t>
            </w:r>
            <w:r>
              <w:rPr>
                <w:rFonts w:eastAsia="標楷體" w:hint="eastAsia"/>
                <w:color w:val="808080" w:themeColor="background1" w:themeShade="80"/>
                <w:szCs w:val="20"/>
              </w:rPr>
              <w:br/>
            </w:r>
            <w:r>
              <w:rPr>
                <w:rFonts w:eastAsia="標楷體" w:hint="eastAsia"/>
                <w:color w:val="808080" w:themeColor="background1" w:themeShade="80"/>
                <w:szCs w:val="20"/>
              </w:rPr>
              <w:t>目前全台據點已鋪設太陽能屋頂(台南、雲林)年發電量約7.9 萬度/年，相當於減碳40.3公噸二氧化碳當量。祥圃實業呼應國際淨零潮流的政策，我們以2024年為起點，落實減碳的三大策略；創能、節能及儲能，逐步達成2030年前減碳20%，2045年前達成碳中和，2050年完成淨零路徑。</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目前祥圃實業以打造多元品牌架構的新農食鏈為己任，讓「成為農場到餐桌的整合者」之企業使命一步一腳印落實企業社會責任，全程透明呈現，樂於分享經驗，推動友善環境、食農教育，引導消費者成長。依據社會企業的精神治理公司，關注員工生涯規劃，創造和諧工作環境進而享受生活。</w:t>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1.5</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f683334f-74aa-4d46-a97f-ec43ffa8ec9a.jpeg" Id="R0c25f089684d457a"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