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元沛農坊-沃畝股份有限公司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e5a443de7ed439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2016-08-04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許又仁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0939-125720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info@agriforward.co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0939-125720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42868398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3,956,000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臺北市大安區和平東路2段265巷3號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☑(9)工業創新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元沛農坊是第一個以科學方法解決農食永續問題的社會企業。 我們透過科學的方法、食物設計以及環境倡議，解決人與環境的衝突。並以5R原則: Redesign (再設計)、Reduce (減少製造)、Recycle (循環)、Recovery (環境恢復)、Resilience (環境韌性)，解決農業汙染以及栽種的問題，並透過食物設計服務，從食物的風土價值做出發，設計自有或聯名的商品在市場推廣，讓消費者透過購買支持對待環境友善的生產者。我們的服務對象包含政府以及公益組織，希望創造一個三贏的局面，而得以進一步的促使降低碳排放量以及推動環境的永續經營。我們提倡循環經濟的模型是”源頭解決問題”將技術和知識帶到垃圾的源頭就地利用解決當地的問題。因此我們以”技術服務化””商品服務化”的概念，開始建置我們的典範案例，未來透過我們的成果進行場域複製。 我們與沼氣發電方案相結合，配合國家的環保政策，針對大型畜牧場進行廢棄物的處置，促成未來畜牧場零排放的目標。此外我們亦引入，智慧農業技術，如IoT物聯網科技、無人機技術，促進永續農業的發展，並透過食物設計的的方式，加值農產品的美味度，並針對使用者的用量改變包裝，讓消費者可以完食農產品，進而響應從源頭減廢的價值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與再生能源業形成完整服務架構，透過廢棄物產電的能源價值，誘使農戶與我們合作。目前我們和「宇陽能源科技」合作，構築「蟲體堆肥技術服務」的商業架構收取顧問收益。我們預計2017年底可以完成與台電併網的目標，並透過「沼液沼渣堆肥化」用於實際農作之上，支援我們對於農產生產需求所需的肥料，並將多餘的產量以市場高度需求的「高價蚯蚓土」形式販售，提高堆肥的產出價值，並增進使用的效率，減少可能的庫存風險，達成廢棄物再生利用之目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除了沼氣發電與堆肥技術，我們亦由沼氣發電後的水體，純化對農耕有益處的沼澤紅假單孢菌，透過純化培養，使用於友善環境耕作，產出兼具友善環境價值的健康農產品。 2019年起，元沛農坊提供專業契作服務，針對病患照護餐業者、以及餐飲業者供給優質的健康農產，讓消費者透過取得健康優質的食物，促進身體健康。 在技術面上，我們亦與中興大學等學術單位，共同研發智慧農業為基礎的永續農業技術，並提供給我們契作農家使用，解決永續農業面臨的管理問題。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此外，元沛農坊亦出品自然健康的加工品，如 : 黑熊釀醬油 (日本關西風淡口醬油)、猴頭菇XO辣醬、無毒米、冰淇淋(與1982法式冰淇淋聯名合作)。另一般消費者也能直接性的透過購買我們的商品，進一步了解美味商品背後代表的環境價值，更進一步擴大倡議環境永續的價值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元沛農坊2020年面對Covid-19的疫情挑戰，提供畜牧場數位轉型工具。 透過IoT物聯網設施與數位馬達控制技術，將植入光合菌的養豬廢水池，降解臭味，提升養液澆灌價值。實踐案例榮獲日本 crQlr Awards : Oikeios Prize for Environmental Design。 在永續的社會價值促進上，我們透過科學的方法、食物設計以及環境倡議，解決人與環境的衝突。並以5R原則: Redesign (再設計)、Reduce (減少製造)、Recycle (循環)、Recovery (環境恢復)、Resilience (環境韌性)，解決農業汙染以及栽種的問題，並透過食物設計服務，從食物的風土價值做出發，設計自有或聯名的商品在市場推廣，讓消費者透過購買支持對待環境友善的生產者。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我們在SDGs12的落實責任生產責任消費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在艱困的疫情期間正式推出自有品牌商品，並與知名品牌豬花田喜彘合作，推出月桃馬告風鹹豬肉，照顧原住民於疫情期間維持一定程度的收入，為我們採摘馬告與月桃，並透過我們的研發將產品成功開發並上市。 同時商品入選110年度Buying Power社企良品，並設立個別銷售專案，將部分營收捐助如 : 路殺社(特生保育中心)、EJA環境權法律人協會，支持環境保護運動。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在2022年完成與財團法人國際合作發展基金會委託，協助貝里斯篩選在地光合菌菌種。開啟SDGs第17項目標，協助友邦國家發展氣候永續行農業(climate smart agriculture)。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2016年創辦至今，我們服務之區域分布於台灣五個縣市 : 新竹、台中、彰化、花蓮、屏東。守護農地面積約10公頃。2018年起，我們協助建置的農業廢棄物資源化場域處理廢棄物數量，在禽畜糞尿的數額達138,759 L，產出肥料數量412 Kg。在專業契作於稻米的部分減少了化學農藥使用約：1771.25 Kg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、無毒稻米之生產預計至2021年達22,000 Kg。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在健康食品的聯名與研發部分，我們與1982法式冰淇淋深度合作，使用我們的農產品，並攜手推出無添加冰淇淋，獲得 國際大賞AA Awards自2017與2018連續兩年共三個冰淇淋品項，全數榮獲三星美食獎項，為台灣摘下共九星的榮耀。 我們已合作使用稻米於冰淇淋產品上，未來本計畫之農產進行產品力評估後，會立即運用於冰淇淋加工上增加稻米應用價值，提高農產的產值。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，我們更於花蓮縣玉里鎮，執行黑熊彩繪田計畫，成功帶入2萬人次造訪人口僅有2.5萬的玉里鎮，促進地方的觀光熱潮，並獲得媒體關注。2020年我們更與工研院、花蓮玉溪農會合作，以碳化稻殼還田為題，進行熊掌圖騰彩繪，促進2,400公斤廢棄稻殼運用於健康稻作耕種。 此外，我們亦開啟台中外埔區計畫，與修平科大合作，於台中外埔地區進行地方創生計畫，預計2021年第一季，研發特色商品，並於2021年6月開始於市場進行銷售，將永續農業的技術與食物設計服務相結合，促進地方繁榮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772f5ba-24ec-4717-ab25-dd72286f765e.jpeg" Id="R1e5a443de7ed439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