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聚盛能源股份有限公司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4953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5370cd2890fc417f"/>
                          <a:stretch>
                            <a:fillRect/>
                          </a:stretch>
                        </pic:blipFill>
                        <pic:spPr>
                          <a:xfrm>
                            <a:off x="0" y="0"/>
                            <a:ext cx="1428750" cy="4953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2020-11-03</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陳君卉</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02-2521-1125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john.kuo@aggr.energy</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0988921578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83095707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11,370,734</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臺北市中山區中山北路二段52號11樓之2</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能源轉型以減煤、增氣、展綠、非核之潔淨能源發展方向為規劃原則，確保電力供應穩定，兼顧降低空污及減碳。為擴大再生能源推廣，經濟部訂定2025年再生能源發電占比20％政策目標。現正積極推動太陽光電及風力發電，預計2025年太陽光電裝置容量達20GW，離岸風力裝置容量則達5.7GW以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然而，再生能源發電有其間歇性及不確定性，隨著再生能源容量擴增，負載用電的鴨子曲線就會越明顯，嚴重影響台灣電網的穩定性。為解決此一問題，未來台灣對於儲能系統的需求將會大幅提升，透過儲能系統的協助，將用電離峰期過剩的電力移轉到高峰期使用，完成削峰填谷的重要任務，有效提升台灣電網的穩定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聚盛能源立志成為世界級資訊及能源服務科技的領導品牌，以EaaS (Energy as a Service)為核心競爭優勢，掌握即時調度、機器學習演算及AI自動競價等軟體技術，打造創能、儲能和需量三位一體的虛擬電廠平台，將是未來分散式能源的關鍵聚合商。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期許本公司成為台灣能源轉型路上的重要推手，為台灣電網提供穩定可靠的頂尖服務，義不容辭地為全人類面臨之潔淨能源及淨零碳排艱難挑戰盡一份心力。</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台灣儲能行業為一新興產業，不但相關技術應用十分創新，商業模式亦前所未見。根據台灣電力企業聯合會TEPA出刊之《台灣電網管理現況與未來展望111年度專刊》，台電為鼓勵民間參與儲能系統建置，已於109年推動「調頻備轉輔助服務(AFC)」及「快速反應負載資源輔助服務(FRR)」；另經濟部亦於110年公布「電力交易平台設置要點」，其中為鼓勵創新技術之應用，儲能及其他業者雖因電業法無明確身份規範，惟如可接受調度並即時調節電能供需，即得獨立參與試行平台之交易。</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聚盛能源以電力及能源市場的產業知識為基礎，並以軟體開發與資通訊為核心能力，揉合兩項專業能力形成獨特競爭優勢，提供擁有電力資源的廠商全方位的一站式服務，讓客戶得以最少資源和最快速度進入電力市場。此外，透過整合不同儲能設備通訊協定，傳遞儲能關鍵資料給台電，來達成市場交易。接收台電調度指令，控制儲能設備來達到穩定電網之需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聚盛能源積極配合政府能源轉型，開發一套排程商調度平台並為客戶需求客製化整合，協助欲參與台電公司電力交易平台的廠商，降低廠商與台電平台技術整合門檻。</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年度營運成果</w:t>
            </w:r>
            <w:r>
              <w:rPr>
                <w:rFonts w:eastAsia="標楷體" w:hint="eastAsia"/>
                <w:color w:val="808080" w:themeColor="background1" w:themeShade="80"/>
                <w:szCs w:val="20"/>
              </w:rPr>
              <w:br/>
            </w:r>
            <w:r>
              <w:rPr>
                <w:rFonts w:eastAsia="標楷體" w:hint="eastAsia"/>
                <w:color w:val="808080" w:themeColor="background1" w:themeShade="80"/>
                <w:szCs w:val="20"/>
              </w:rPr>
              <w:t>1. 2021年 (已實現)：</w:t>
            </w:r>
            <w:r>
              <w:rPr>
                <w:rFonts w:eastAsia="標楷體" w:hint="eastAsia"/>
                <w:color w:val="808080" w:themeColor="background1" w:themeShade="80"/>
                <w:szCs w:val="20"/>
              </w:rPr>
              <w:br/>
            </w:r>
            <w:r>
              <w:rPr>
                <w:rFonts w:eastAsia="標楷體" w:hint="eastAsia"/>
                <w:color w:val="808080" w:themeColor="background1" w:themeShade="80"/>
                <w:szCs w:val="20"/>
              </w:rPr>
              <w:t>　　(1) 成功簽下25MW電能資源容量，開始參與輔助服務。</w:t>
            </w:r>
            <w:r>
              <w:rPr>
                <w:rFonts w:eastAsia="標楷體" w:hint="eastAsia"/>
                <w:color w:val="808080" w:themeColor="background1" w:themeShade="80"/>
                <w:szCs w:val="20"/>
              </w:rPr>
              <w:br/>
            </w:r>
            <w:r>
              <w:rPr>
                <w:rFonts w:eastAsia="標楷體" w:hint="eastAsia"/>
                <w:color w:val="808080" w:themeColor="background1" w:themeShade="80"/>
                <w:szCs w:val="20"/>
              </w:rPr>
              <w:t>　　(2) 取得電力交易平台專業人員資格證明。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 2022年 (已實現)：</w:t>
            </w:r>
            <w:r>
              <w:rPr>
                <w:rFonts w:eastAsia="標楷體" w:hint="eastAsia"/>
                <w:color w:val="808080" w:themeColor="background1" w:themeShade="80"/>
                <w:szCs w:val="20"/>
              </w:rPr>
              <w:br/>
            </w:r>
            <w:r>
              <w:rPr>
                <w:rFonts w:eastAsia="標楷體" w:hint="eastAsia"/>
                <w:color w:val="808080" w:themeColor="background1" w:themeShade="80"/>
                <w:szCs w:val="20"/>
              </w:rPr>
              <w:t>　　(1) 管理電能資源總容量已成長至50MW。</w:t>
            </w:r>
            <w:r>
              <w:rPr>
                <w:rFonts w:eastAsia="標楷體" w:hint="eastAsia"/>
                <w:color w:val="808080" w:themeColor="background1" w:themeShade="80"/>
                <w:szCs w:val="20"/>
              </w:rPr>
              <w:br/>
            </w:r>
            <w:r>
              <w:rPr>
                <w:rFonts w:eastAsia="標楷體" w:hint="eastAsia"/>
                <w:color w:val="808080" w:themeColor="background1" w:themeShade="80"/>
                <w:szCs w:val="20"/>
              </w:rPr>
              <w:t>　　(2) 開始以大數據及人工智慧分析用電、發電及各式相關電力資料，深度研發機器學習及自動競價演算法。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 2023年 (已實現)：</w:t>
            </w:r>
            <w:r>
              <w:rPr>
                <w:rFonts w:eastAsia="標楷體" w:hint="eastAsia"/>
                <w:color w:val="808080" w:themeColor="background1" w:themeShade="80"/>
                <w:szCs w:val="20"/>
              </w:rPr>
              <w:br/>
            </w:r>
            <w:r>
              <w:rPr>
                <w:rFonts w:eastAsia="標楷體" w:hint="eastAsia"/>
                <w:color w:val="808080" w:themeColor="background1" w:themeShade="80"/>
                <w:szCs w:val="20"/>
              </w:rPr>
              <w:t>　　(1) 已於2023/07完成興建台灣首座輸電等級50MW大型儲能案場。</w:t>
            </w:r>
            <w:r>
              <w:rPr>
                <w:rFonts w:eastAsia="標楷體" w:hint="eastAsia"/>
                <w:color w:val="808080" w:themeColor="background1" w:themeShade="80"/>
                <w:szCs w:val="20"/>
              </w:rPr>
              <w:br/>
            </w:r>
            <w:r>
              <w:rPr>
                <w:rFonts w:eastAsia="標楷體" w:hint="eastAsia"/>
                <w:color w:val="808080" w:themeColor="background1" w:themeShade="80"/>
                <w:szCs w:val="20"/>
              </w:rPr>
              <w:t>　　(2) 已於2023/08上線參與台電調頻備轉輔助服務。</w:t>
            </w:r>
            <w:r>
              <w:rPr>
                <w:rFonts w:eastAsia="標楷體" w:hint="eastAsia"/>
                <w:color w:val="808080" w:themeColor="background1" w:themeShade="80"/>
                <w:szCs w:val="20"/>
              </w:rPr>
              <w:br/>
            </w:r>
            <w:r>
              <w:rPr>
                <w:rFonts w:eastAsia="標楷體" w:hint="eastAsia"/>
                <w:color w:val="808080" w:themeColor="background1" w:themeShade="80"/>
                <w:szCs w:val="20"/>
              </w:rPr>
              <w:t>　　(3) 管理電能資源總容量已超過130MW。</w:t>
            </w:r>
            <w:r>
              <w:rPr>
                <w:rFonts w:eastAsia="標楷體" w:hint="eastAsia"/>
                <w:color w:val="808080" w:themeColor="background1" w:themeShade="80"/>
                <w:szCs w:val="20"/>
              </w:rPr>
              <w:br/>
            </w:r>
            <w:r>
              <w:rPr>
                <w:rFonts w:eastAsia="標楷體" w:hint="eastAsia"/>
                <w:color w:val="808080" w:themeColor="background1" w:themeShade="80"/>
                <w:szCs w:val="20"/>
              </w:rPr>
              <w:t>　　(4) 持續優化 AI 驅動之演算法模型，並完善相關資料庫。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核心經營團隊</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執行長——江健智先生</w:t>
            </w:r>
            <w:r>
              <w:rPr>
                <w:rFonts w:eastAsia="標楷體" w:hint="eastAsia"/>
                <w:color w:val="808080" w:themeColor="background1" w:themeShade="80"/>
                <w:szCs w:val="20"/>
              </w:rPr>
              <w:br/>
            </w:r>
            <w:r>
              <w:rPr>
                <w:rFonts w:eastAsia="標楷體" w:hint="eastAsia"/>
                <w:color w:val="808080" w:themeColor="background1" w:themeShade="80"/>
                <w:szCs w:val="20"/>
              </w:rPr>
              <w:t>　　(1) 學歷：</w:t>
            </w:r>
            <w:r>
              <w:rPr>
                <w:rFonts w:eastAsia="標楷體" w:hint="eastAsia"/>
                <w:color w:val="808080" w:themeColor="background1" w:themeShade="80"/>
                <w:szCs w:val="20"/>
              </w:rPr>
              <w:br/>
            </w:r>
            <w:r>
              <w:rPr>
                <w:rFonts w:eastAsia="標楷體" w:hint="eastAsia"/>
                <w:color w:val="808080" w:themeColor="background1" w:themeShade="80"/>
                <w:szCs w:val="20"/>
              </w:rPr>
              <w:t>　　　　美國哥倫比亞大學應用物理碩士</w:t>
            </w:r>
            <w:r>
              <w:rPr>
                <w:rFonts w:eastAsia="標楷體" w:hint="eastAsia"/>
                <w:color w:val="808080" w:themeColor="background1" w:themeShade="80"/>
                <w:szCs w:val="20"/>
              </w:rPr>
              <w:br/>
            </w:r>
            <w:r>
              <w:rPr>
                <w:rFonts w:eastAsia="標楷體" w:hint="eastAsia"/>
                <w:color w:val="808080" w:themeColor="background1" w:themeShade="80"/>
                <w:szCs w:val="20"/>
              </w:rPr>
              <w:t>　　　　國立台灣大學化學工程學士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(2) 經歷：</w:t>
            </w:r>
            <w:r>
              <w:rPr>
                <w:rFonts w:eastAsia="標楷體" w:hint="eastAsia"/>
                <w:color w:val="808080" w:themeColor="background1" w:themeShade="80"/>
                <w:szCs w:val="20"/>
              </w:rPr>
              <w:br/>
            </w:r>
            <w:r>
              <w:rPr>
                <w:rFonts w:eastAsia="標楷體" w:hint="eastAsia"/>
                <w:color w:val="808080" w:themeColor="background1" w:themeShade="80"/>
                <w:szCs w:val="20"/>
              </w:rPr>
              <w:t>　　　　翰可國際股份有限公司能源服務部經理</w:t>
            </w:r>
            <w:r>
              <w:rPr>
                <w:rFonts w:eastAsia="標楷體" w:hint="eastAsia"/>
                <w:color w:val="808080" w:themeColor="background1" w:themeShade="80"/>
                <w:szCs w:val="20"/>
              </w:rPr>
              <w:br/>
            </w:r>
            <w:r>
              <w:rPr>
                <w:rFonts w:eastAsia="標楷體" w:hint="eastAsia"/>
                <w:color w:val="808080" w:themeColor="background1" w:themeShade="80"/>
                <w:szCs w:val="20"/>
              </w:rPr>
              <w:t>　　　　英商世譽股份有限公司業務部經理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策略長——黃柏曄先生</w:t>
            </w:r>
            <w:r>
              <w:rPr>
                <w:rFonts w:eastAsia="標楷體" w:hint="eastAsia"/>
                <w:color w:val="808080" w:themeColor="background1" w:themeShade="80"/>
                <w:szCs w:val="20"/>
              </w:rPr>
              <w:br/>
            </w:r>
            <w:r>
              <w:rPr>
                <w:rFonts w:eastAsia="標楷體" w:hint="eastAsia"/>
                <w:color w:val="808080" w:themeColor="background1" w:themeShade="80"/>
                <w:szCs w:val="20"/>
              </w:rPr>
              <w:t>　　(1) 學歷：</w:t>
            </w:r>
            <w:r>
              <w:rPr>
                <w:rFonts w:eastAsia="標楷體" w:hint="eastAsia"/>
                <w:color w:val="808080" w:themeColor="background1" w:themeShade="80"/>
                <w:szCs w:val="20"/>
              </w:rPr>
              <w:br/>
            </w:r>
            <w:r>
              <w:rPr>
                <w:rFonts w:eastAsia="標楷體" w:hint="eastAsia"/>
                <w:color w:val="808080" w:themeColor="background1" w:themeShade="80"/>
                <w:szCs w:val="20"/>
              </w:rPr>
              <w:t>　　　　美國加州大學MBA</w:t>
            </w:r>
            <w:r>
              <w:rPr>
                <w:rFonts w:eastAsia="標楷體" w:hint="eastAsia"/>
                <w:color w:val="808080" w:themeColor="background1" w:themeShade="80"/>
                <w:szCs w:val="20"/>
              </w:rPr>
              <w:br/>
            </w:r>
            <w:r>
              <w:rPr>
                <w:rFonts w:eastAsia="標楷體" w:hint="eastAsia"/>
                <w:color w:val="808080" w:themeColor="background1" w:themeShade="80"/>
                <w:szCs w:val="20"/>
              </w:rPr>
              <w:t>　　　　元智大學電機工程學士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(2) 經歷：</w:t>
            </w:r>
            <w:r>
              <w:rPr>
                <w:rFonts w:eastAsia="標楷體" w:hint="eastAsia"/>
                <w:color w:val="808080" w:themeColor="background1" w:themeShade="80"/>
                <w:szCs w:val="20"/>
              </w:rPr>
              <w:br/>
            </w:r>
            <w:r>
              <w:rPr>
                <w:rFonts w:eastAsia="標楷體" w:hint="eastAsia"/>
                <w:color w:val="808080" w:themeColor="background1" w:themeShade="80"/>
                <w:szCs w:val="20"/>
              </w:rPr>
              <w:t>　　　　翰可國際股份有限公司能源服務部儲能專案負責人</w:t>
            </w:r>
            <w:r>
              <w:rPr>
                <w:rFonts w:eastAsia="標楷體" w:hint="eastAsia"/>
                <w:color w:val="808080" w:themeColor="background1" w:themeShade="80"/>
                <w:szCs w:val="20"/>
              </w:rPr>
              <w:br/>
            </w:r>
            <w:r>
              <w:rPr>
                <w:rFonts w:eastAsia="標楷體" w:hint="eastAsia"/>
                <w:color w:val="808080" w:themeColor="background1" w:themeShade="80"/>
                <w:szCs w:val="20"/>
              </w:rPr>
              <w:t>　　　　美商安奈諾克股份有限公司業務開發經理</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隨著再生能源的興起，台灣的能源正在進行轉型，未來的電力架構逐漸走向分散式能源 (Distributed Energy Resources)，這些能源將會以服務的形式進入電網。聚盛能源整合發電機、儲能、需量反應等電力服務成為虛擬電廠，在逐步開放的電力市場中進行電力媒合與交易，並透過即時調度技術讓台灣的電能供需調節更加靈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根據經濟部能源局於2020年11月頒布之能源轉型白皮書所示，台灣2019年總發電量約2,741億度，超過8成為化石能源，核能約占 12%，再生能源約 5.6%。2017−2019年，再生能源總發電量自124億度成長至153億度，主要因為太陽光電發電量自16.7億度上升至40.1億度。</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台灣能源約有98%依賴進口滿足，且目前仍為獨立電網，廠網分離尚難徹底落實，導致電網穩定度不足。2014−2017年間，備轉容量率低於6%或不足90萬瓩的天數，明顯逐步攀升。此外，因天災人禍造成之電廠物理性衝擊，也時常造成台電電力機組無預警跳機；停電或限電的新聞隨著用電需求攀升常態性出現在一般百姓的生活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聚盛能源透過積極發展儲能系統相關服務，協助政府確保電力供應穩定，並因應空污減排規劃電力系統彈性調度機制，以達成未來要持續達成備用容量率15%、備轉容量率10%之政策目標。</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0.01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e80ab6bd-55e6-4a63-8f2b-3dc84f70c91a.jpeg" Id="R5370cd2890fc417f"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